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91" w:rsidRDefault="00EA5291" w:rsidP="00EA5291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3.</w:t>
      </w:r>
    </w:p>
    <w:p w:rsidR="00EA5291" w:rsidRDefault="00EA5291" w:rsidP="00EA5291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EA5291" w:rsidRDefault="00EA5291" w:rsidP="00EA5291">
      <w:pPr>
        <w:tabs>
          <w:tab w:val="left" w:pos="7088"/>
        </w:tabs>
        <w:spacing w:after="0"/>
        <w:ind w:firstLine="709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Перечень основных нормативных правовых актов и иных документов в области принятия компаниями мер по противодействию коррупции</w:t>
      </w:r>
      <w:r>
        <w:rPr>
          <w:rStyle w:val="a7"/>
          <w:rFonts w:eastAsia="Cambria"/>
          <w:color w:val="0F243E"/>
          <w:sz w:val="28"/>
          <w:szCs w:val="28"/>
        </w:rPr>
        <w:footnoteReference w:id="1"/>
      </w:r>
    </w:p>
    <w:p w:rsidR="00EA5291" w:rsidRDefault="00EA5291" w:rsidP="00EA5291">
      <w:pPr>
        <w:pStyle w:val="a6"/>
        <w:spacing w:after="0" w:line="240" w:lineRule="auto"/>
        <w:ind w:left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EA5291" w:rsidRDefault="00226CD4" w:rsidP="00226CD4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Правовые а</w:t>
      </w:r>
      <w:r w:rsidR="00EA5291"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кты, содержащие обязательные требования и рекомендации</w:t>
      </w:r>
    </w:p>
    <w:p w:rsidR="00EA5291" w:rsidRDefault="00EA5291" w:rsidP="00226CD4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 в области противодействия коррупции.</w:t>
      </w:r>
    </w:p>
    <w:p w:rsidR="00EA5291" w:rsidRDefault="00EA5291" w:rsidP="00EA5291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813F4F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Федеральный закон от 25.12.2008 № 273-ФЗ «О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противодействии коррупции».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Федеральный закон от 7.08.2001 № 115-ФЗ «О противодействии легализации (отмыванию) доходов, полученных преступным путем, и финансированию терроризма».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(статья 19.28).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Уголовный кодекс Российской Федерации (статьи 204, 204.1, 204.2, 291, 291.1, 291.2).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Трудовой кодекс</w:t>
      </w:r>
      <w:r w:rsidRPr="00AA55BC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E94F01">
        <w:rPr>
          <w:rFonts w:ascii="Times New Roman" w:eastAsia="Cambria" w:hAnsi="Times New Roman" w:cs="Times New Roman"/>
          <w:color w:val="0F243E"/>
          <w:sz w:val="28"/>
          <w:szCs w:val="28"/>
        </w:rPr>
        <w:t>Российской Федерации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Указ Президента Российской Федерации от 02.04.2013 № 309 «О мерах по реализации отдельных положений Федерального закона «О противодействии коррупции».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рекомендации по организации процессов управления рисками и внутреннего контроля в области предупреждения и противодействия коррупции в акционерных обществах с участием Российской Федерации, утверждённые приказом Федерального агентства по управлению государственным имуществом от 02.03.2016 №80.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указания Федерального агентства по управлению государственным имуществом по подготовке Положения о внутреннем аудите, Положения о системе управления рисками, одобренные поручением Правительства Российской Федерации от 24.06.2015 ИШ-П13-4148.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Кодекс корпоративного управления, одобрен Советом директоров Банка России 21.03. 2014 г. (письмо Центрального банка РФ от 10 апреля 2014 г. № 06-52/2463 «О Кодексе корпоративного управления»).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Информационное письмо Банка России от 01.10.2020 № ИН-06-28/143 «О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обществах».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Методические рекомендации по разработке и принятию организациями мер по предупреждению и противодействию коррупции.                                   </w:t>
      </w:r>
      <w:hyperlink w:history="1">
        <w:r>
          <w:rPr>
            <w:rStyle w:val="a3"/>
            <w:rFonts w:ascii="Times New Roman" w:eastAsia="Cambria" w:hAnsi="Times New Roman"/>
            <w:sz w:val="28"/>
            <w:szCs w:val="28"/>
          </w:rPr>
          <w:t>URL:https://rosmintrud.ru/ministry/programms/anticorruption/015/0</w:t>
        </w:r>
      </w:hyperlink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Информация «Меры по предупреждению коррупции в организациях» (утверждена Минтрудом России, 2019 г.). URL: </w:t>
      </w:r>
      <w:hyperlink w:history="1">
        <w:r>
          <w:rPr>
            <w:rStyle w:val="a3"/>
            <w:rFonts w:ascii="Times New Roman" w:eastAsia="Cambria" w:hAnsi="Times New Roman"/>
            <w:sz w:val="28"/>
            <w:szCs w:val="28"/>
          </w:rPr>
          <w:t>http://base.garant.ru/72755766/</w:t>
        </w:r>
      </w:hyperlink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Памятка «Закрепление обязанностей работников организации, связанных с предупреждением коррупции, ответственность и стимулирование» (утверждена Минтрудом России, 2019 г.). URL: </w:t>
      </w:r>
      <w:hyperlink w:history="1">
        <w:r>
          <w:rPr>
            <w:rStyle w:val="a3"/>
            <w:rFonts w:ascii="Times New Roman" w:eastAsia="Cambria" w:hAnsi="Times New Roman"/>
            <w:sz w:val="28"/>
            <w:szCs w:val="28"/>
          </w:rPr>
          <w:t>http://base.garant.ru/72755722/</w:t>
        </w:r>
      </w:hyperlink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EA5291" w:rsidRDefault="00EA5291" w:rsidP="00813F4F">
      <w:pPr>
        <w:pStyle w:val="a6"/>
        <w:numPr>
          <w:ilvl w:val="0"/>
          <w:numId w:val="1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Рекомендации по порядку проведения оценки коррупционных рисков в организации (утверждены Минтрудом России, 2019 г.). URL: </w:t>
      </w:r>
      <w:hyperlink w:history="1">
        <w:r>
          <w:rPr>
            <w:rStyle w:val="a3"/>
            <w:rFonts w:ascii="Times New Roman" w:eastAsia="Cambria" w:hAnsi="Times New Roman"/>
            <w:sz w:val="28"/>
            <w:szCs w:val="28"/>
          </w:rPr>
          <w:t>http://base.garant.ru/72755734/</w:t>
        </w:r>
      </w:hyperlink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EA5291" w:rsidRDefault="00EA5291" w:rsidP="00813F4F">
      <w:pPr>
        <w:pStyle w:val="a6"/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EA5291" w:rsidRDefault="00EA5291" w:rsidP="00813F4F">
      <w:pPr>
        <w:pStyle w:val="a6"/>
        <w:spacing w:afterLines="60" w:after="144" w:line="240" w:lineRule="auto"/>
        <w:ind w:left="0" w:firstLine="851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Международные соглашения:</w:t>
      </w:r>
    </w:p>
    <w:p w:rsidR="00EA5291" w:rsidRDefault="00EA5291" w:rsidP="00813F4F">
      <w:pPr>
        <w:pStyle w:val="a6"/>
        <w:spacing w:afterLines="60" w:after="144" w:line="240" w:lineRule="auto"/>
        <w:ind w:left="0" w:firstLine="851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EA5291" w:rsidRDefault="00EA5291" w:rsidP="00813F4F">
      <w:pPr>
        <w:pStyle w:val="a6"/>
        <w:numPr>
          <w:ilvl w:val="0"/>
          <w:numId w:val="2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ООН против коррупции, 2003 г. (ратифицирована РФ в 2006 г.).</w:t>
      </w:r>
    </w:p>
    <w:p w:rsidR="00EA5291" w:rsidRDefault="00EA5291" w:rsidP="00813F4F">
      <w:pPr>
        <w:pStyle w:val="a6"/>
        <w:numPr>
          <w:ilvl w:val="0"/>
          <w:numId w:val="2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Организации Объединенных Наций против транснациональной организованной преступности, 2000 г.</w:t>
      </w:r>
    </w:p>
    <w:p w:rsidR="00EA5291" w:rsidRDefault="00EA5291" w:rsidP="00813F4F">
      <w:pPr>
        <w:pStyle w:val="a6"/>
        <w:numPr>
          <w:ilvl w:val="0"/>
          <w:numId w:val="2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Совета Европы об уголовной ответственности за коррупцию, 1999 г. (ратифицирована РФ в 2006 г.).</w:t>
      </w:r>
    </w:p>
    <w:p w:rsidR="00EA5291" w:rsidRDefault="00EA5291" w:rsidP="00813F4F">
      <w:pPr>
        <w:pStyle w:val="a6"/>
        <w:numPr>
          <w:ilvl w:val="0"/>
          <w:numId w:val="2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ОЭСР по борьбе с подкупом иностранных должностных лиц при осуществлении ими международных сделок, 1997г. (ратифицирована РФ в 2012 г.).</w:t>
      </w:r>
    </w:p>
    <w:p w:rsidR="00EA5291" w:rsidRDefault="00EA5291" w:rsidP="00813F4F">
      <w:pPr>
        <w:pStyle w:val="a6"/>
        <w:numPr>
          <w:ilvl w:val="0"/>
          <w:numId w:val="2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EF19A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ОЭСР о борьбе с дачей взяток иностранным государственным должностным лицам при осуществлении международных деловых операций, 1997 г.</w:t>
      </w:r>
    </w:p>
    <w:p w:rsidR="00EA5291" w:rsidRDefault="00EA5291" w:rsidP="00813F4F">
      <w:pPr>
        <w:pStyle w:val="a6"/>
        <w:numPr>
          <w:ilvl w:val="0"/>
          <w:numId w:val="2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Совета Европы о гражданско-правовой ответственности за коррупцию, 1999 г.</w:t>
      </w:r>
    </w:p>
    <w:p w:rsidR="00EA5291" w:rsidRDefault="00EA5291" w:rsidP="00813F4F">
      <w:pPr>
        <w:pStyle w:val="a6"/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EA5291" w:rsidRDefault="00EA5291" w:rsidP="00813F4F">
      <w:pPr>
        <w:pStyle w:val="a6"/>
        <w:spacing w:afterLines="60" w:after="144" w:line="240" w:lineRule="auto"/>
        <w:ind w:left="0" w:firstLine="851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Методическая основа Рейтинга.</w:t>
      </w:r>
    </w:p>
    <w:p w:rsidR="00EA5291" w:rsidRDefault="00EA5291" w:rsidP="00813F4F">
      <w:pPr>
        <w:pStyle w:val="a6"/>
        <w:spacing w:afterLines="60" w:after="144" w:line="240" w:lineRule="auto"/>
        <w:ind w:left="0" w:firstLine="851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EA5291" w:rsidRDefault="00EA5291" w:rsidP="00813F4F">
      <w:pPr>
        <w:pStyle w:val="a6"/>
        <w:spacing w:after="0" w:line="240" w:lineRule="auto"/>
        <w:ind w:left="0" w:firstLine="851"/>
        <w:jc w:val="both"/>
        <w:rPr>
          <w:rStyle w:val="a3"/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Антикоррупционная хартия </w:t>
      </w:r>
      <w:proofErr w:type="gramStart"/>
      <w:r>
        <w:rPr>
          <w:rFonts w:ascii="Times New Roman" w:eastAsia="Cambria" w:hAnsi="Times New Roman" w:cs="Times New Roman"/>
          <w:color w:val="0F243E"/>
          <w:sz w:val="28"/>
          <w:szCs w:val="28"/>
        </w:rPr>
        <w:t>российского</w:t>
      </w:r>
      <w:proofErr w:type="gramEnd"/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бизнеса. </w:t>
      </w:r>
      <w:hyperlink w:history="1">
        <w:r>
          <w:rPr>
            <w:rStyle w:val="a3"/>
            <w:rFonts w:ascii="Times New Roman" w:eastAsia="Cambria" w:hAnsi="Times New Roman"/>
            <w:sz w:val="28"/>
            <w:szCs w:val="28"/>
          </w:rPr>
          <w:t>http://рспп.рф/simplepage/against-corruption/</w:t>
        </w:r>
      </w:hyperlink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;  </w:t>
      </w:r>
      <w:hyperlink w:history="1">
        <w:r>
          <w:rPr>
            <w:rStyle w:val="a3"/>
            <w:rFonts w:ascii="Times New Roman" w:eastAsia="Cambria" w:hAnsi="Times New Roman"/>
            <w:sz w:val="28"/>
            <w:szCs w:val="28"/>
          </w:rPr>
          <w:t>https://www.against-corruption/</w:t>
        </w:r>
      </w:hyperlink>
      <w:r>
        <w:rPr>
          <w:rStyle w:val="a3"/>
          <w:rFonts w:ascii="Times New Roman" w:eastAsia="Cambria" w:hAnsi="Times New Roman"/>
          <w:sz w:val="28"/>
          <w:szCs w:val="28"/>
        </w:rPr>
        <w:t>.</w:t>
      </w:r>
    </w:p>
    <w:p w:rsidR="006B0F3F" w:rsidRDefault="00EA5291" w:rsidP="00813F4F">
      <w:pPr>
        <w:pStyle w:val="a6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(Подписана в 2012 г. Российским союзом промышленников и предпринимателей, Торгово-промышленной палатой РФ, Общероссийской общественной организацией «Деловая Россия», Общероссийской общественной организацией «ОПОРА России»).</w:t>
      </w:r>
    </w:p>
    <w:p w:rsidR="00EA5291" w:rsidRDefault="006B0F3F" w:rsidP="00813F4F">
      <w:pPr>
        <w:pStyle w:val="a6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М</w:t>
      </w:r>
      <w:r w:rsidRPr="00850623">
        <w:rPr>
          <w:rFonts w:ascii="Times New Roman" w:eastAsia="Cambria" w:hAnsi="Times New Roman" w:cs="Times New Roman"/>
          <w:color w:val="0F243E"/>
          <w:sz w:val="28"/>
          <w:szCs w:val="28"/>
        </w:rPr>
        <w:t>еждународный стандарт ISO 37001:2016 «Системы управления противодействием коррупции - Требования и рекомендации по применению»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EA5291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  <w:bookmarkStart w:id="0" w:name="_GoBack"/>
      <w:bookmarkEnd w:id="0"/>
    </w:p>
    <w:p w:rsidR="000F75B3" w:rsidRDefault="000F75B3"/>
    <w:sectPr w:rsidR="000F75B3" w:rsidSect="00813F4F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91" w:rsidRDefault="00EA5291" w:rsidP="00EA5291">
      <w:pPr>
        <w:spacing w:after="0" w:line="240" w:lineRule="auto"/>
      </w:pPr>
      <w:r>
        <w:separator/>
      </w:r>
    </w:p>
  </w:endnote>
  <w:endnote w:type="continuationSeparator" w:id="0">
    <w:p w:rsidR="00EA5291" w:rsidRDefault="00EA5291" w:rsidP="00EA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91" w:rsidRDefault="00EA5291" w:rsidP="00EA5291">
      <w:pPr>
        <w:spacing w:after="0" w:line="240" w:lineRule="auto"/>
      </w:pPr>
      <w:r>
        <w:separator/>
      </w:r>
    </w:p>
  </w:footnote>
  <w:footnote w:type="continuationSeparator" w:id="0">
    <w:p w:rsidR="00EA5291" w:rsidRDefault="00EA5291" w:rsidP="00EA5291">
      <w:pPr>
        <w:spacing w:after="0" w:line="240" w:lineRule="auto"/>
      </w:pPr>
      <w:r>
        <w:continuationSeparator/>
      </w:r>
    </w:p>
  </w:footnote>
  <w:footnote w:id="1">
    <w:p w:rsidR="00EA5291" w:rsidRDefault="00EA5291" w:rsidP="00EA5291">
      <w:pPr>
        <w:pStyle w:val="a4"/>
      </w:pPr>
      <w:r>
        <w:rPr>
          <w:rStyle w:val="a7"/>
        </w:rPr>
        <w:footnoteRef/>
      </w:r>
      <w:r>
        <w:rPr>
          <w:lang w:val="en-US"/>
        </w:rPr>
        <w:t xml:space="preserve"> </w:t>
      </w:r>
      <w:r>
        <w:rPr>
          <w:sz w:val="22"/>
          <w:szCs w:val="22"/>
        </w:rPr>
        <w:t>Перечень не является исчерпывающим.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7C"/>
    <w:multiLevelType w:val="hybridMultilevel"/>
    <w:tmpl w:val="5DA85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27E84"/>
    <w:multiLevelType w:val="hybridMultilevel"/>
    <w:tmpl w:val="5DA857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91"/>
    <w:rsid w:val="000F75B3"/>
    <w:rsid w:val="00226CD4"/>
    <w:rsid w:val="006B0F3F"/>
    <w:rsid w:val="00813F4F"/>
    <w:rsid w:val="00A45A3D"/>
    <w:rsid w:val="00EA5291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5291"/>
    <w:rPr>
      <w:color w:val="0000FF" w:themeColor="hyperlink"/>
      <w:u w:val="single"/>
    </w:rPr>
  </w:style>
  <w:style w:type="paragraph" w:styleId="a4">
    <w:name w:val="footnote text"/>
    <w:basedOn w:val="a"/>
    <w:link w:val="1"/>
    <w:uiPriority w:val="99"/>
    <w:semiHidden/>
    <w:unhideWhenUsed/>
    <w:qFormat/>
    <w:rsid w:val="00EA52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EA5291"/>
    <w:rPr>
      <w:rFonts w:eastAsiaTheme="minorEastAsia"/>
      <w:sz w:val="20"/>
      <w:szCs w:val="20"/>
    </w:rPr>
  </w:style>
  <w:style w:type="paragraph" w:styleId="a6">
    <w:name w:val="List Paragraph"/>
    <w:basedOn w:val="a"/>
    <w:uiPriority w:val="1"/>
    <w:qFormat/>
    <w:rsid w:val="00EA5291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EA5291"/>
    <w:rPr>
      <w:rFonts w:ascii="Times New Roman" w:eastAsiaTheme="minorEastAsia" w:hAnsi="Times New Roman" w:cs="Times New Roman"/>
      <w:i/>
      <w:sz w:val="24"/>
      <w:szCs w:val="24"/>
      <w:vertAlign w:val="superscript"/>
      <w:lang w:val="en-US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EA5291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5291"/>
    <w:rPr>
      <w:color w:val="0000FF" w:themeColor="hyperlink"/>
      <w:u w:val="single"/>
    </w:rPr>
  </w:style>
  <w:style w:type="paragraph" w:styleId="a4">
    <w:name w:val="footnote text"/>
    <w:basedOn w:val="a"/>
    <w:link w:val="1"/>
    <w:uiPriority w:val="99"/>
    <w:semiHidden/>
    <w:unhideWhenUsed/>
    <w:qFormat/>
    <w:rsid w:val="00EA52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EA5291"/>
    <w:rPr>
      <w:rFonts w:eastAsiaTheme="minorEastAsia"/>
      <w:sz w:val="20"/>
      <w:szCs w:val="20"/>
    </w:rPr>
  </w:style>
  <w:style w:type="paragraph" w:styleId="a6">
    <w:name w:val="List Paragraph"/>
    <w:basedOn w:val="a"/>
    <w:uiPriority w:val="1"/>
    <w:qFormat/>
    <w:rsid w:val="00EA5291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EA5291"/>
    <w:rPr>
      <w:rFonts w:ascii="Times New Roman" w:eastAsiaTheme="minorEastAsia" w:hAnsi="Times New Roman" w:cs="Times New Roman"/>
      <w:i/>
      <w:sz w:val="24"/>
      <w:szCs w:val="24"/>
      <w:vertAlign w:val="superscript"/>
      <w:lang w:val="en-US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EA5291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Котелевская Ирина Васильевна</dc:creator>
  <cp:lastModifiedBy>Котелевская Ирина Васильевна</cp:lastModifiedBy>
  <cp:revision>3</cp:revision>
  <dcterms:created xsi:type="dcterms:W3CDTF">2022-12-26T10:26:00Z</dcterms:created>
  <dcterms:modified xsi:type="dcterms:W3CDTF">2022-12-26T10:32:00Z</dcterms:modified>
</cp:coreProperties>
</file>